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72" w:rsidRPr="00EE5108" w:rsidRDefault="00823872" w:rsidP="00EE5108">
      <w:pPr>
        <w:pStyle w:val="llb"/>
        <w:tabs>
          <w:tab w:val="left" w:pos="284"/>
          <w:tab w:val="left" w:pos="708"/>
        </w:tabs>
        <w:ind w:firstLine="0"/>
        <w:jc w:val="center"/>
        <w:rPr>
          <w:rFonts w:ascii="(normal text)" w:hAnsi="(normal text)"/>
          <w:b/>
          <w:color w:val="000000"/>
          <w:szCs w:val="24"/>
          <w:lang w:val="hu-HU"/>
        </w:rPr>
      </w:pPr>
      <w:bookmarkStart w:id="0" w:name="_GoBack"/>
      <w:bookmarkEnd w:id="0"/>
      <w:proofErr w:type="spellStart"/>
      <w:r w:rsidRPr="00EE5108">
        <w:rPr>
          <w:rFonts w:ascii="(normal text)" w:hAnsi="(normal text)"/>
          <w:b/>
          <w:color w:val="000000"/>
          <w:szCs w:val="24"/>
          <w:lang w:val="hu-HU"/>
        </w:rPr>
        <w:t>From</w:t>
      </w:r>
      <w:proofErr w:type="spellEnd"/>
      <w:r w:rsidRPr="00EE5108">
        <w:rPr>
          <w:rFonts w:ascii="(normal text)" w:hAnsi="(normal text)"/>
          <w:b/>
          <w:color w:val="000000"/>
          <w:szCs w:val="24"/>
          <w:lang w:val="hu-HU"/>
        </w:rPr>
        <w:t xml:space="preserve"> </w:t>
      </w:r>
      <w:proofErr w:type="spellStart"/>
      <w:r w:rsidRPr="00EE5108">
        <w:rPr>
          <w:rFonts w:ascii="(normal text)" w:hAnsi="(normal text)"/>
          <w:b/>
          <w:color w:val="000000"/>
          <w:szCs w:val="24"/>
          <w:lang w:val="hu-HU"/>
        </w:rPr>
        <w:t>early</w:t>
      </w:r>
      <w:proofErr w:type="spellEnd"/>
      <w:r w:rsidRPr="00EE5108">
        <w:rPr>
          <w:rFonts w:ascii="(normal text)" w:hAnsi="(normal text)"/>
          <w:b/>
          <w:color w:val="000000"/>
          <w:szCs w:val="24"/>
          <w:lang w:val="hu-HU"/>
        </w:rPr>
        <w:t xml:space="preserve"> </w:t>
      </w:r>
      <w:proofErr w:type="spellStart"/>
      <w:r w:rsidRPr="00EE5108">
        <w:rPr>
          <w:rFonts w:ascii="(normal text)" w:hAnsi="(normal text)"/>
          <w:b/>
          <w:color w:val="000000"/>
          <w:szCs w:val="24"/>
          <w:lang w:val="hu-HU"/>
        </w:rPr>
        <w:t>observations</w:t>
      </w:r>
      <w:proofErr w:type="spellEnd"/>
      <w:r w:rsidRPr="00EE5108">
        <w:rPr>
          <w:rFonts w:ascii="(normal text)" w:hAnsi="(normal text)"/>
          <w:b/>
          <w:color w:val="000000"/>
          <w:szCs w:val="24"/>
          <w:lang w:val="hu-HU"/>
        </w:rPr>
        <w:t xml:space="preserve"> </w:t>
      </w:r>
      <w:proofErr w:type="spellStart"/>
      <w:r w:rsidRPr="00EE5108">
        <w:rPr>
          <w:rFonts w:ascii="(normal text)" w:hAnsi="(normal text)"/>
          <w:b/>
          <w:color w:val="000000"/>
          <w:szCs w:val="24"/>
          <w:lang w:val="hu-HU"/>
        </w:rPr>
        <w:t>to</w:t>
      </w:r>
      <w:proofErr w:type="spellEnd"/>
      <w:r w:rsidRPr="00EE5108">
        <w:rPr>
          <w:rFonts w:ascii="(normal text)" w:hAnsi="(normal text)"/>
          <w:b/>
          <w:color w:val="000000"/>
          <w:szCs w:val="24"/>
          <w:lang w:val="hu-HU"/>
        </w:rPr>
        <w:t xml:space="preserve"> </w:t>
      </w:r>
      <w:proofErr w:type="spellStart"/>
      <w:r w:rsidRPr="00EE5108">
        <w:rPr>
          <w:rFonts w:ascii="(normal text)" w:hAnsi="(normal text)"/>
          <w:b/>
          <w:color w:val="000000"/>
          <w:szCs w:val="24"/>
          <w:lang w:val="hu-HU"/>
        </w:rPr>
        <w:t>product</w:t>
      </w:r>
      <w:proofErr w:type="spellEnd"/>
      <w:r w:rsidRPr="00EE5108">
        <w:rPr>
          <w:rFonts w:ascii="(normal text)" w:hAnsi="(normal text)"/>
          <w:b/>
          <w:color w:val="000000"/>
          <w:szCs w:val="24"/>
          <w:lang w:val="hu-HU"/>
        </w:rPr>
        <w:t xml:space="preserve"> </w:t>
      </w:r>
      <w:proofErr w:type="spellStart"/>
      <w:r w:rsidRPr="00EE5108">
        <w:rPr>
          <w:rFonts w:ascii="(normal text)" w:hAnsi="(normal text)"/>
          <w:b/>
          <w:color w:val="000000"/>
          <w:szCs w:val="24"/>
          <w:lang w:val="hu-HU"/>
        </w:rPr>
        <w:t>development</w:t>
      </w:r>
      <w:proofErr w:type="spellEnd"/>
      <w:r w:rsidRPr="00EE5108">
        <w:rPr>
          <w:rFonts w:ascii="(normal text)" w:hAnsi="(normal text)"/>
          <w:b/>
          <w:color w:val="000000"/>
          <w:szCs w:val="24"/>
          <w:lang w:val="hu-HU"/>
        </w:rPr>
        <w:t xml:space="preserve">: </w:t>
      </w:r>
      <w:proofErr w:type="spellStart"/>
      <w:r w:rsidRPr="00EE5108">
        <w:rPr>
          <w:rFonts w:ascii="(normal text)" w:hAnsi="(normal text)"/>
          <w:b/>
          <w:color w:val="000000"/>
          <w:szCs w:val="24"/>
          <w:lang w:val="hu-HU"/>
        </w:rPr>
        <w:t>invention</w:t>
      </w:r>
      <w:proofErr w:type="spellEnd"/>
      <w:r w:rsidRPr="00EE5108">
        <w:rPr>
          <w:rFonts w:ascii="(normal text)" w:hAnsi="(normal text)"/>
          <w:b/>
          <w:color w:val="000000"/>
          <w:szCs w:val="24"/>
          <w:lang w:val="hu-HU"/>
        </w:rPr>
        <w:t xml:space="preserve"> and </w:t>
      </w:r>
      <w:proofErr w:type="spellStart"/>
      <w:r w:rsidRPr="00EE5108">
        <w:rPr>
          <w:rFonts w:ascii="(normal text)" w:hAnsi="(normal text)"/>
          <w:b/>
          <w:color w:val="000000"/>
          <w:szCs w:val="24"/>
          <w:lang w:val="hu-HU"/>
        </w:rPr>
        <w:t>innovation</w:t>
      </w:r>
      <w:proofErr w:type="spellEnd"/>
      <w:r w:rsidRPr="00EE5108">
        <w:rPr>
          <w:rFonts w:ascii="(normal text)" w:hAnsi="(normal text)"/>
          <w:b/>
          <w:color w:val="000000"/>
          <w:szCs w:val="24"/>
          <w:lang w:val="hu-HU"/>
        </w:rPr>
        <w:t xml:space="preserve"> in </w:t>
      </w:r>
      <w:proofErr w:type="spellStart"/>
      <w:r w:rsidRPr="00EE5108">
        <w:rPr>
          <w:rFonts w:ascii="(normal text)" w:hAnsi="(normal text)"/>
          <w:b/>
          <w:color w:val="000000"/>
          <w:szCs w:val="24"/>
          <w:lang w:val="hu-HU"/>
        </w:rPr>
        <w:t>cyclodextrin</w:t>
      </w:r>
      <w:proofErr w:type="spellEnd"/>
      <w:r w:rsidRPr="00EE5108">
        <w:rPr>
          <w:rFonts w:ascii="(normal text)" w:hAnsi="(normal text)"/>
          <w:b/>
          <w:color w:val="000000"/>
          <w:szCs w:val="24"/>
          <w:lang w:val="hu-HU"/>
        </w:rPr>
        <w:t xml:space="preserve"> </w:t>
      </w:r>
      <w:proofErr w:type="spellStart"/>
      <w:r w:rsidRPr="00EE5108">
        <w:rPr>
          <w:rFonts w:ascii="(normal text)" w:hAnsi="(normal text)"/>
          <w:b/>
          <w:color w:val="000000"/>
          <w:szCs w:val="24"/>
          <w:lang w:val="hu-HU"/>
        </w:rPr>
        <w:t>technology</w:t>
      </w:r>
      <w:proofErr w:type="spellEnd"/>
    </w:p>
    <w:p w:rsidR="00823872" w:rsidRPr="00EE5108" w:rsidRDefault="00823872" w:rsidP="00EE5108">
      <w:pPr>
        <w:pStyle w:val="llb"/>
        <w:tabs>
          <w:tab w:val="left" w:pos="284"/>
          <w:tab w:val="left" w:pos="708"/>
        </w:tabs>
        <w:ind w:firstLine="0"/>
        <w:jc w:val="center"/>
        <w:rPr>
          <w:rFonts w:ascii="(normal text)" w:hAnsi="(normal text)"/>
          <w:b/>
          <w:color w:val="000000"/>
          <w:szCs w:val="24"/>
          <w:lang w:val="hu-HU"/>
        </w:rPr>
      </w:pPr>
    </w:p>
    <w:p w:rsidR="00823872" w:rsidRPr="00EE5108" w:rsidRDefault="00823872" w:rsidP="00EE5108">
      <w:pPr>
        <w:pStyle w:val="llb"/>
        <w:tabs>
          <w:tab w:val="left" w:pos="284"/>
          <w:tab w:val="left" w:pos="708"/>
        </w:tabs>
        <w:ind w:firstLine="0"/>
        <w:jc w:val="center"/>
        <w:rPr>
          <w:rFonts w:ascii="(normal text)" w:hAnsi="(normal text)"/>
          <w:color w:val="000000"/>
          <w:szCs w:val="24"/>
          <w:lang w:val="hu-HU"/>
        </w:rPr>
      </w:pPr>
      <w:r w:rsidRPr="00EE5108">
        <w:rPr>
          <w:rFonts w:ascii="(normal text)" w:hAnsi="(normal text)"/>
          <w:color w:val="000000"/>
          <w:szCs w:val="24"/>
          <w:lang w:val="hu-HU"/>
        </w:rPr>
        <w:t xml:space="preserve">Szente Lajos </w:t>
      </w:r>
    </w:p>
    <w:p w:rsidR="00823872" w:rsidRPr="00EE5108" w:rsidRDefault="00823872" w:rsidP="00EE5108">
      <w:pPr>
        <w:pStyle w:val="llb"/>
        <w:tabs>
          <w:tab w:val="left" w:pos="284"/>
          <w:tab w:val="left" w:pos="708"/>
        </w:tabs>
        <w:ind w:firstLine="0"/>
        <w:jc w:val="center"/>
        <w:rPr>
          <w:rFonts w:ascii="(normal text)" w:hAnsi="(normal text)"/>
          <w:color w:val="000000"/>
          <w:szCs w:val="24"/>
          <w:lang w:val="hu-HU"/>
        </w:rPr>
      </w:pPr>
      <w:proofErr w:type="spellStart"/>
      <w:r w:rsidRPr="00EE5108">
        <w:rPr>
          <w:rFonts w:ascii="(normal text)" w:hAnsi="(normal text)"/>
          <w:color w:val="000000"/>
          <w:szCs w:val="24"/>
          <w:lang w:val="hu-HU"/>
        </w:rPr>
        <w:t>CycloLab</w:t>
      </w:r>
      <w:proofErr w:type="spellEnd"/>
      <w:r w:rsidRPr="00EE5108">
        <w:rPr>
          <w:rFonts w:ascii="(normal text)" w:hAnsi="(normal text)"/>
          <w:color w:val="000000"/>
          <w:szCs w:val="24"/>
          <w:lang w:val="hu-HU"/>
        </w:rPr>
        <w:t xml:space="preserve"> Kft.</w:t>
      </w:r>
    </w:p>
    <w:p w:rsidR="009D2B64" w:rsidRPr="00EE5108" w:rsidRDefault="00823872" w:rsidP="00EE5108">
      <w:pPr>
        <w:tabs>
          <w:tab w:val="left" w:pos="284"/>
        </w:tabs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</w:pP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Cyclodextrins (CDs) have long been utilised as functional excipients, auxiliary agents in a number of marketed products. The last 40 years in CD technology has witnessed the successful uses of CDs </w:t>
      </w:r>
      <w:r w:rsidR="001C4F3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in pharmaceutical industry, in personal care, food and agricultural applications. 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At present 50 CD-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enabled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human pharmaceutical</w:t>
      </w:r>
      <w:r w:rsidR="001C4F3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s</w:t>
      </w:r>
      <w:r w:rsidR="0067411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, over 100 personal care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and</w:t>
      </w:r>
      <w:r w:rsidR="0067411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food products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, </w:t>
      </w:r>
      <w:r w:rsidR="0067411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dozens of industrial technologies 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are </w:t>
      </w:r>
      <w:r w:rsidR="001C4F3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originated from the the fortunate interaction between early scientific observations (inventions) and applied research activities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and</w:t>
      </w:r>
      <w:r w:rsidR="001C4F3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engineering (innovations). </w:t>
      </w:r>
      <w:r w:rsidR="0067411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The purpose of present talk is 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that with the help of </w:t>
      </w:r>
      <w:r w:rsidR="009D2B6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illustrative examples to show how</w:t>
      </w:r>
      <w:r w:rsidR="001C4F3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an early concept </w:t>
      </w:r>
      <w:r w:rsidR="009D2B6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can take </w:t>
      </w:r>
      <w:r w:rsidR="001C4F3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shape and lea</w:t>
      </w:r>
      <w:r w:rsidR="009D2B6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ds</w:t>
      </w:r>
      <w:r w:rsidR="001C4F33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to a </w:t>
      </w:r>
      <w:r w:rsidR="009D2B6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real product development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in this field</w:t>
      </w:r>
      <w:r w:rsidR="009D2B6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. The 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history of </w:t>
      </w:r>
      <w:r w:rsidR="009D2B6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cyclodextrin techno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l</w:t>
      </w:r>
      <w:r w:rsidR="009D2B6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ogy can be devided into two phases:</w:t>
      </w:r>
    </w:p>
    <w:p w:rsidR="009D2B64" w:rsidRPr="00EE5108" w:rsidRDefault="009D2B64" w:rsidP="00EE5108">
      <w:pPr>
        <w:tabs>
          <w:tab w:val="left" w:pos="284"/>
        </w:tabs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</w:pPr>
      <w:r w:rsidRPr="00EE5108">
        <w:rPr>
          <w:rFonts w:ascii="(normal text)" w:eastAsia="Times New Roman" w:hAnsi="(normal text)"/>
          <w:b/>
          <w:color w:val="000000"/>
          <w:sz w:val="24"/>
          <w:szCs w:val="24"/>
          <w:lang w:val="pl-PL" w:eastAsia="ar-SA"/>
        </w:rPr>
        <w:t>The excipient era: (1975-2000)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</w:t>
      </w:r>
      <w:r w:rsidR="00B17CA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In this period, 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CDs were applied as auxiliary materials functional complexing agen</w:t>
      </w:r>
      <w:r w:rsidR="00B33711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t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s</w:t>
      </w:r>
      <w:r w:rsidR="00B17CA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. All the</w:t>
      </w:r>
      <w:r w:rsidR="00B33711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research acvtivities served and supported the molecular capsule </w:t>
      </w:r>
      <w:r w:rsidR="00B17CA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concept and </w:t>
      </w:r>
      <w:r w:rsidR="00B33711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functions of CDs</w:t>
      </w:r>
      <w:r w:rsidR="00B17CA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. This was the age of non-covalent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,</w:t>
      </w:r>
      <w:r w:rsidR="00B17CA4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biner host-guest complexes. </w:t>
      </w:r>
    </w:p>
    <w:p w:rsidR="00EE5108" w:rsidRPr="00EE5108" w:rsidRDefault="00B17CA4" w:rsidP="00EE5108">
      <w:pPr>
        <w:tabs>
          <w:tab w:val="left" w:pos="284"/>
        </w:tabs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</w:pPr>
      <w:r w:rsidRPr="00EE5108">
        <w:rPr>
          <w:rFonts w:ascii="(normal text)" w:eastAsia="Times New Roman" w:hAnsi="(normal text)"/>
          <w:b/>
          <w:color w:val="000000"/>
          <w:sz w:val="24"/>
          <w:szCs w:val="24"/>
          <w:lang w:val="pl-PL" w:eastAsia="ar-SA"/>
        </w:rPr>
        <w:t>The active ingredient era: (from 2000 onwards)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The R. and D. activites around the application of </w:t>
      </w:r>
      <w:r w:rsidR="00EE5108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„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empty</w:t>
      </w:r>
      <w:r w:rsidR="00EE5108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”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cyclodextrin</w:t>
      </w:r>
      <w:r w:rsidR="00EE5108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nanocavities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have been a source of quite a number of surprising, novel applications and biological effects of parent and chemically modified CDs. T</w:t>
      </w:r>
      <w:r w:rsidR="00823872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he therapeutic u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tility</w:t>
      </w:r>
      <w:r w:rsidR="00823872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of non-occupied CD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molecules</w:t>
      </w:r>
      <w:r w:rsidR="00823872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were</w:t>
      </w:r>
      <w:r w:rsidR="00823872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</w:t>
      </w:r>
      <w:r w:rsidR="00EE5108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subject of a number of discoveries and patents, leading to the development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and approval </w:t>
      </w:r>
      <w:r w:rsidR="00EE5108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of the first cyclodextrin drug </w:t>
      </w:r>
      <w:r w:rsidR="00EE5108" w:rsidRPr="00EE5108">
        <w:rPr>
          <w:rFonts w:ascii="(normal text)" w:eastAsia="Times New Roman" w:hAnsi="(normal text)"/>
          <w:bCs/>
          <w:iCs/>
          <w:color w:val="000000"/>
          <w:sz w:val="24"/>
          <w:szCs w:val="24"/>
          <w:lang w:val="pl-PL" w:eastAsia="ar-SA"/>
        </w:rPr>
        <w:t>Bridion</w:t>
      </w:r>
      <w:r w:rsidR="00EE5108" w:rsidRPr="00EE5108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pl-PL" w:eastAsia="ar-SA"/>
        </w:rPr>
        <w:t>®</w:t>
      </w:r>
      <w:r w:rsidR="00CE6C37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pl-PL" w:eastAsia="ar-SA"/>
        </w:rPr>
        <w:t>.</w:t>
      </w:r>
      <w:r w:rsidR="00EE5108"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</w:t>
      </w:r>
    </w:p>
    <w:p w:rsidR="005A53B9" w:rsidRDefault="00EE5108" w:rsidP="00EE5108">
      <w:pPr>
        <w:tabs>
          <w:tab w:val="left" w:pos="284"/>
        </w:tabs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</w:pP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The </w:t>
      </w:r>
      <w:r w:rsidR="00CE6C37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extensive academic researcg dedicated to the CD-cholestrol interactions resulted in orphan drug designation of </w:t>
      </w:r>
      <w:r w:rsidR="007B411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the solubilizing 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excipient, 2-hydroxypropyl-</w:t>
      </w:r>
      <w:r w:rsidRPr="00EE5108">
        <w:rPr>
          <w:rFonts w:ascii="Symbol" w:eastAsia="Times New Roman" w:hAnsi="Symbol"/>
          <w:color w:val="000000"/>
          <w:sz w:val="24"/>
          <w:szCs w:val="24"/>
          <w:lang w:val="pl-PL" w:eastAsia="ar-SA"/>
        </w:rPr>
        <w:t>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-CD, due to its selective cholesterol </w:t>
      </w:r>
      <w:r w:rsidR="007B411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>mobilizing</w:t>
      </w:r>
      <w:r w:rsidRPr="00EE5108">
        <w:rPr>
          <w:rFonts w:ascii="(normal text)" w:eastAsia="Times New Roman" w:hAnsi="(normal text)"/>
          <w:color w:val="000000"/>
          <w:sz w:val="24"/>
          <w:szCs w:val="24"/>
          <w:lang w:val="pl-PL" w:eastAsia="ar-SA"/>
        </w:rPr>
        <w:t xml:space="preserve"> property. </w:t>
      </w:r>
      <w:r w:rsidR="004F6321" w:rsidRPr="00EE510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Similar lipid complexing properties </w:t>
      </w:r>
      <w:r w:rsidR="007B411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of </w:t>
      </w:r>
      <w:r w:rsidR="004F6321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chemically modified lipid</w:t>
      </w:r>
      <w:r w:rsidR="007B411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-</w:t>
      </w:r>
      <w:proofErr w:type="spellStart"/>
      <w:r w:rsidR="004F6321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solubilizer</w:t>
      </w:r>
      <w:proofErr w:type="spellEnd"/>
      <w:r w:rsidR="004F6321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CDs </w:t>
      </w:r>
      <w:r w:rsidR="007B411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were used to design antiviral drug formulations</w:t>
      </w:r>
      <w:r w:rsidR="004F6321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, a</w:t>
      </w:r>
      <w:r w:rsidR="005A53B9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n</w:t>
      </w:r>
      <w:r w:rsidR="004F6321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d </w:t>
      </w:r>
      <w:r w:rsidR="007B411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to attempt to </w:t>
      </w:r>
      <w:r w:rsidR="004F6321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treat a number of rare lipid-storage diseases</w:t>
      </w:r>
      <w:r w:rsidR="007B411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and ageing</w:t>
      </w:r>
      <w:r w:rsidR="004F6321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. </w:t>
      </w:r>
      <w:r w:rsidR="007B411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The results of e</w:t>
      </w:r>
      <w:r w:rsidR="004F6321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arly research observations </w:t>
      </w:r>
      <w:r w:rsidR="007B411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on </w:t>
      </w:r>
      <w:r w:rsidR="005A53B9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the protein-</w:t>
      </w:r>
      <w:proofErr w:type="spellStart"/>
      <w:r w:rsidR="005A53B9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cyclodextrin</w:t>
      </w:r>
      <w:proofErr w:type="spellEnd"/>
      <w:r w:rsidR="005A53B9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interactions </w:t>
      </w:r>
      <w:r w:rsidR="004F6321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lead to </w:t>
      </w:r>
      <w:r w:rsidR="005A53B9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development of a novel concept for an anti</w:t>
      </w:r>
      <w:r w:rsidR="007B411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-infective</w:t>
      </w:r>
      <w:r w:rsidR="005A53B9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therapy and a </w:t>
      </w:r>
      <w:r w:rsidR="00CA0194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diagnostic </w:t>
      </w:r>
      <w:r w:rsidR="005A53B9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product enabling automatized and </w:t>
      </w:r>
      <w:r w:rsidR="00CA0194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cost-effective </w:t>
      </w:r>
      <w:r w:rsidR="005A53B9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DNA sequencing. </w:t>
      </w:r>
    </w:p>
    <w:p w:rsidR="005A53B9" w:rsidRDefault="005A53B9" w:rsidP="00EE5108">
      <w:pPr>
        <w:tabs>
          <w:tab w:val="left" w:pos="284"/>
        </w:tabs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</w:pPr>
      <w:r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The decade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-</w:t>
      </w:r>
      <w:r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long academic research 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de</w:t>
      </w:r>
      <w:r w:rsidR="00CA0194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voted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to</w:t>
      </w:r>
      <w:r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</w:t>
      </w:r>
      <w:r w:rsidR="00CA0194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the synthesis and characteri</w:t>
      </w:r>
      <w:r w:rsidR="00C479C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z</w:t>
      </w:r>
      <w:r w:rsidR="00CA0194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ation of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unique </w:t>
      </w:r>
      <w:r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polymer-</w:t>
      </w:r>
      <w:r w:rsidR="00A8464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CD</w:t>
      </w:r>
      <w:r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supramolecular assemblies</w:t>
      </w:r>
      <w:r w:rsidR="00A8464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,</w:t>
      </w:r>
      <w:r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called </w:t>
      </w:r>
      <w:proofErr w:type="spellStart"/>
      <w:r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rotaxanes</w:t>
      </w:r>
      <w:proofErr w:type="spellEnd"/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,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has led to the </w:t>
      </w:r>
      <w:r w:rsidR="00A8464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development of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“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smart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”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polymers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with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self-healing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properties as surface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coatings</w:t>
      </w:r>
      <w:r w:rsidR="00CA0194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and</w:t>
      </w:r>
      <w:r w:rsidR="00A8464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to </w:t>
      </w:r>
      <w:proofErr w:type="spellStart"/>
      <w:r w:rsidR="00CA0194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rotaxane</w:t>
      </w:r>
      <w:proofErr w:type="spellEnd"/>
      <w:r w:rsidR="00CA0194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-containing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car</w:t>
      </w:r>
      <w:r w:rsidR="00A8464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-bodies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with i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mproved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d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urability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and </w:t>
      </w:r>
      <w:r w:rsidR="00A8464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high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flexibility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. The prototype car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s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made 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with </w:t>
      </w:r>
      <w:r w:rsidR="00C479C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such 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superlight polymer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-enabled </w:t>
      </w:r>
      <w:r w:rsidR="00A84648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car-bodies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are</w:t>
      </w:r>
      <w:r w:rsidR="00CA0194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just about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facing </w:t>
      </w:r>
      <w:r w:rsidR="00CA0194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industrial </w:t>
      </w:r>
      <w:r w:rsidR="00BA092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>production in Japan.</w:t>
      </w:r>
      <w:r w:rsidR="005B078E">
        <w:rPr>
          <w:rFonts w:ascii="(normal text)" w:eastAsia="Times New Roman" w:hAnsi="(normal text)"/>
          <w:color w:val="000000"/>
          <w:sz w:val="24"/>
          <w:szCs w:val="24"/>
          <w:lang w:val="en" w:eastAsia="ar-SA"/>
        </w:rPr>
        <w:t xml:space="preserve"> </w:t>
      </w:r>
    </w:p>
    <w:sectPr w:rsidR="005A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72B12"/>
    <w:multiLevelType w:val="hybridMultilevel"/>
    <w:tmpl w:val="2C700E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72"/>
    <w:rsid w:val="001C4F33"/>
    <w:rsid w:val="004F6321"/>
    <w:rsid w:val="005A53B9"/>
    <w:rsid w:val="005B078E"/>
    <w:rsid w:val="00674113"/>
    <w:rsid w:val="007B4118"/>
    <w:rsid w:val="00823872"/>
    <w:rsid w:val="00954595"/>
    <w:rsid w:val="009D2B64"/>
    <w:rsid w:val="00A84648"/>
    <w:rsid w:val="00B17CA4"/>
    <w:rsid w:val="00B33711"/>
    <w:rsid w:val="00BA092E"/>
    <w:rsid w:val="00C479C8"/>
    <w:rsid w:val="00CA0194"/>
    <w:rsid w:val="00CE6C37"/>
    <w:rsid w:val="00DA7449"/>
    <w:rsid w:val="00ED3005"/>
    <w:rsid w:val="00E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6A8B1-C10F-4C46-B478-46C46CC6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unhideWhenUsed/>
    <w:rsid w:val="00823872"/>
    <w:pPr>
      <w:tabs>
        <w:tab w:val="center" w:pos="4536"/>
        <w:tab w:val="right" w:pos="9072"/>
      </w:tabs>
      <w:suppressAutoHyphens/>
      <w:overflowPunct w:val="0"/>
      <w:autoSpaceDE w:val="0"/>
      <w:spacing w:after="120" w:line="240" w:lineRule="auto"/>
      <w:ind w:firstLine="240"/>
      <w:jc w:val="both"/>
    </w:pPr>
    <w:rPr>
      <w:rFonts w:ascii="Times New Roman" w:eastAsia="Times New Roman" w:hAnsi="Times New Roman" w:cs="Times New Roman"/>
      <w:color w:val="000080"/>
      <w:kern w:val="2"/>
      <w:sz w:val="24"/>
      <w:szCs w:val="20"/>
      <w:lang w:val="en-US" w:eastAsia="ar-SA"/>
    </w:rPr>
  </w:style>
  <w:style w:type="character" w:customStyle="1" w:styleId="llbChar">
    <w:name w:val="Élőláb Char"/>
    <w:basedOn w:val="Bekezdsalapbettpusa"/>
    <w:link w:val="llb"/>
    <w:semiHidden/>
    <w:rsid w:val="00823872"/>
    <w:rPr>
      <w:rFonts w:ascii="Times New Roman" w:eastAsia="Times New Roman" w:hAnsi="Times New Roman" w:cs="Times New Roman"/>
      <w:color w:val="000080"/>
      <w:kern w:val="2"/>
      <w:sz w:val="24"/>
      <w:szCs w:val="20"/>
      <w:lang w:val="en-US" w:eastAsia="ar-SA"/>
    </w:rPr>
  </w:style>
  <w:style w:type="character" w:styleId="Hiperhivatkozs">
    <w:name w:val="Hyperlink"/>
    <w:rsid w:val="00823872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23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23872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 Lajos</dc:creator>
  <cp:lastModifiedBy>Harkányi Judit</cp:lastModifiedBy>
  <cp:revision>2</cp:revision>
  <dcterms:created xsi:type="dcterms:W3CDTF">2020-02-04T13:30:00Z</dcterms:created>
  <dcterms:modified xsi:type="dcterms:W3CDTF">2020-02-04T13:30:00Z</dcterms:modified>
</cp:coreProperties>
</file>